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16F54483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3F6FF1">
        <w:rPr>
          <w:rFonts w:ascii="Arial" w:hAnsi="Arial" w:cs="Arial"/>
          <w:b/>
          <w:sz w:val="24"/>
          <w:lang w:val="en-US"/>
        </w:rPr>
        <w:t>4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E03F11">
        <w:rPr>
          <w:rFonts w:ascii="Arial" w:hAnsi="Arial" w:cs="Arial"/>
          <w:b/>
          <w:sz w:val="24"/>
          <w:lang w:val="en-US"/>
        </w:rPr>
        <w:t>9</w:t>
      </w:r>
      <w:r w:rsidR="006D0A8A">
        <w:rPr>
          <w:rFonts w:ascii="Arial" w:hAnsi="Arial" w:cs="Arial"/>
          <w:b/>
          <w:sz w:val="24"/>
          <w:lang w:val="en-US"/>
        </w:rPr>
        <w:t>3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7B6629" w:rsidRPr="007B6629">
        <w:rPr>
          <w:rFonts w:ascii="Arial" w:hAnsi="Arial" w:cs="Arial"/>
          <w:b/>
          <w:sz w:val="24"/>
          <w:lang w:val="en-US"/>
        </w:rPr>
        <w:t>R4-1915075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2033D"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18</w:t>
      </w:r>
      <w:r w:rsidR="0046119F">
        <w:rPr>
          <w:rFonts w:ascii="Arial" w:hAnsi="Arial" w:cs="Arial"/>
          <w:b/>
          <w:sz w:val="24"/>
        </w:rPr>
        <w:t xml:space="preserve"> – </w:t>
      </w:r>
      <w:r w:rsidR="0082033D">
        <w:rPr>
          <w:rFonts w:ascii="Arial" w:hAnsi="Arial" w:cs="Arial"/>
          <w:b/>
          <w:sz w:val="24"/>
        </w:rPr>
        <w:t>22</w:t>
      </w:r>
      <w:r w:rsidR="0046119F">
        <w:rPr>
          <w:rFonts w:ascii="Arial" w:hAnsi="Arial" w:cs="Arial"/>
          <w:b/>
          <w:sz w:val="24"/>
        </w:rPr>
        <w:t xml:space="preserve"> </w:t>
      </w:r>
      <w:r w:rsidR="0082033D">
        <w:rPr>
          <w:rFonts w:ascii="Arial" w:hAnsi="Arial" w:cs="Arial"/>
          <w:b/>
          <w:sz w:val="24"/>
        </w:rPr>
        <w:t>November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F5F038A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13D84" w:rsidRPr="00E13D84">
        <w:rPr>
          <w:rFonts w:ascii="Arial" w:hAnsi="Arial" w:cs="Arial"/>
          <w:sz w:val="24"/>
          <w:szCs w:val="24"/>
        </w:rPr>
        <w:t>11.2.3.2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71CB2824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E13D84">
        <w:rPr>
          <w:rFonts w:ascii="Arial" w:hAnsi="Arial" w:cs="Arial"/>
          <w:sz w:val="24"/>
          <w:szCs w:val="24"/>
        </w:rPr>
        <w:t>On UL UBF for NR FR2 MIMO OTA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D55B298" w:rsidR="000606FD" w:rsidRDefault="00E13D84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providing our view on the need of UL </w:t>
      </w:r>
      <w:r w:rsidR="00DC5B56">
        <w:rPr>
          <w:rFonts w:eastAsia="Batang"/>
        </w:rPr>
        <w:t xml:space="preserve">UBF for NR FR2 MIMO as proposed in </w:t>
      </w:r>
      <w:r w:rsidR="00BC3149">
        <w:rPr>
          <w:rFonts w:eastAsia="Batang"/>
        </w:rPr>
        <w:fldChar w:fldCharType="begin"/>
      </w:r>
      <w:r w:rsidR="00BC3149">
        <w:rPr>
          <w:rFonts w:eastAsia="Batang"/>
        </w:rPr>
        <w:instrText xml:space="preserve"> REF _Ref23489532 \r \h </w:instrText>
      </w:r>
      <w:r w:rsidR="00BC3149">
        <w:rPr>
          <w:rFonts w:eastAsia="Batang"/>
        </w:rPr>
      </w:r>
      <w:r w:rsidR="00BC3149">
        <w:rPr>
          <w:rFonts w:eastAsia="Batang"/>
        </w:rPr>
        <w:fldChar w:fldCharType="separate"/>
      </w:r>
      <w:r w:rsidR="00D163C5">
        <w:rPr>
          <w:rFonts w:eastAsia="Batang"/>
        </w:rPr>
        <w:t>[1]</w:t>
      </w:r>
      <w:r w:rsidR="00BC3149">
        <w:rPr>
          <w:rFonts w:eastAsia="Batang"/>
        </w:rPr>
        <w:fldChar w:fldCharType="end"/>
      </w:r>
      <w:r w:rsidR="00BC3149"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0D373D80" w:rsidR="00E03F11" w:rsidRDefault="00BC246E" w:rsidP="00E03F11">
      <w:r>
        <w:t xml:space="preserve">In </w:t>
      </w:r>
      <w:r>
        <w:fldChar w:fldCharType="begin"/>
      </w:r>
      <w:r>
        <w:instrText xml:space="preserve"> REF _Ref23489532 \r \h </w:instrText>
      </w:r>
      <w:r>
        <w:fldChar w:fldCharType="separate"/>
      </w:r>
      <w:r w:rsidR="00D163C5">
        <w:t>[1]</w:t>
      </w:r>
      <w:r>
        <w:fldChar w:fldCharType="end"/>
      </w:r>
      <w:r>
        <w:t>, it was proposed to mandate the UL UBF for DL NR FR2</w:t>
      </w:r>
      <w:r w:rsidR="00CB6D45">
        <w:t xml:space="preserve"> MIMO OTA test cases</w:t>
      </w:r>
    </w:p>
    <w:p w14:paraId="687DE48D" w14:textId="77777777" w:rsidR="00CB6D45" w:rsidRDefault="00CB6D45" w:rsidP="00CB6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 xml:space="preserve">Proposal: Adopt the usage of the Tx Only condition in the </w:t>
      </w:r>
      <w:r w:rsidRPr="00660D91">
        <w:rPr>
          <w:b/>
        </w:rPr>
        <w:t>UE beam lock function (UBF)</w:t>
      </w:r>
      <w:r>
        <w:rPr>
          <w:b/>
        </w:rPr>
        <w:t xml:space="preserve"> as required test condition for FR2 NR MIMO OTA methodologies.</w:t>
      </w:r>
    </w:p>
    <w:p w14:paraId="51C284F3" w14:textId="1DC2C161" w:rsidR="00CB6D45" w:rsidRDefault="006E5A26" w:rsidP="00E03F11">
      <w:r>
        <w:t xml:space="preserve">The </w:t>
      </w:r>
      <w:r w:rsidR="00D75969">
        <w:t xml:space="preserve">UBF was originally </w:t>
      </w:r>
      <w:r w:rsidR="00D15059">
        <w:t xml:space="preserve">defined </w:t>
      </w:r>
      <w:r w:rsidR="00780E97">
        <w:fldChar w:fldCharType="begin"/>
      </w:r>
      <w:r w:rsidR="00780E97">
        <w:instrText xml:space="preserve"> REF _Ref23490207 \r \h </w:instrText>
      </w:r>
      <w:r w:rsidR="00780E97">
        <w:fldChar w:fldCharType="separate"/>
      </w:r>
      <w:r w:rsidR="00D163C5">
        <w:t>[2]</w:t>
      </w:r>
      <w:r w:rsidR="00780E97">
        <w:fldChar w:fldCharType="end"/>
      </w:r>
      <w:r w:rsidR="00780E97">
        <w:t xml:space="preserve"> </w:t>
      </w:r>
      <w:r w:rsidR="00D15059">
        <w:t xml:space="preserve">for the TRP metric to be evaluated </w:t>
      </w:r>
      <w:r w:rsidR="00780E97">
        <w:t xml:space="preserve">without the need to have independent measurement and link antenna </w:t>
      </w:r>
      <w:r w:rsidR="00E95CB3">
        <w:t>positioning</w:t>
      </w:r>
      <w:r w:rsidR="003C26A8">
        <w:t xml:space="preserve"> needs</w:t>
      </w:r>
      <w:r w:rsidR="00806E83">
        <w:t xml:space="preserve">, i.e., it enabled the simplified </w:t>
      </w:r>
      <w:r w:rsidR="00264762">
        <w:t xml:space="preserve">DFF </w:t>
      </w:r>
      <w:r w:rsidR="00806E83">
        <w:t xml:space="preserve">and IFF methodologies </w:t>
      </w:r>
      <w:r w:rsidR="00D92FBA">
        <w:fldChar w:fldCharType="begin"/>
      </w:r>
      <w:r w:rsidR="00D92FBA">
        <w:instrText xml:space="preserve"> REF _Ref23490423 \r \h </w:instrText>
      </w:r>
      <w:r w:rsidR="00D92FBA">
        <w:fldChar w:fldCharType="separate"/>
      </w:r>
      <w:r w:rsidR="00D163C5">
        <w:t>[3]</w:t>
      </w:r>
      <w:r w:rsidR="00D92FBA">
        <w:fldChar w:fldCharType="end"/>
      </w:r>
      <w:r w:rsidR="00D92FBA">
        <w:t xml:space="preserve"> to perform TRP scans with </w:t>
      </w:r>
      <w:r w:rsidR="0049315A">
        <w:t xml:space="preserve">the UL beam locked towards the TX beam peak direction prior to the 3D TRP scan. While the UL UBF is </w:t>
      </w:r>
      <w:r w:rsidR="00E20450">
        <w:t xml:space="preserve">now commonly used for many TX test cases, only the </w:t>
      </w:r>
      <w:r w:rsidR="002C3FDB">
        <w:t xml:space="preserve">maximum input level </w:t>
      </w:r>
      <w:r w:rsidR="00104DB6">
        <w:t>DL test case requires the DL UBF</w:t>
      </w:r>
      <w:r w:rsidR="00607FFC">
        <w:t>.</w:t>
      </w:r>
      <w:r w:rsidR="00B76252">
        <w:t xml:space="preserve"> However, RAN5 decided </w:t>
      </w:r>
      <w:r w:rsidR="00C85324">
        <w:t>not to test this test case on any of the FR2 bands</w:t>
      </w:r>
      <w:r w:rsidR="00DC2361">
        <w:t xml:space="preserve"> </w:t>
      </w:r>
      <w:r w:rsidR="00DC2361">
        <w:fldChar w:fldCharType="begin"/>
      </w:r>
      <w:r w:rsidR="00DC2361">
        <w:instrText xml:space="preserve"> REF _Ref23495799 \r \h </w:instrText>
      </w:r>
      <w:r w:rsidR="00DC2361">
        <w:fldChar w:fldCharType="separate"/>
      </w:r>
      <w:r w:rsidR="00D163C5">
        <w:t>[4]</w:t>
      </w:r>
      <w:r w:rsidR="00DC2361">
        <w:fldChar w:fldCharType="end"/>
      </w:r>
      <w:r w:rsidR="00E50F6C">
        <w:t>.</w:t>
      </w:r>
    </w:p>
    <w:p w14:paraId="20C55864" w14:textId="595BD08F" w:rsidR="00E50F6C" w:rsidRDefault="00E50F6C" w:rsidP="00E50F6C">
      <w:pPr>
        <w:pStyle w:val="Caption"/>
      </w:pPr>
      <w:bookmarkStart w:id="4" w:name="_Ref234957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163C5">
        <w:rPr>
          <w:noProof/>
        </w:rPr>
        <w:t>1</w:t>
      </w:r>
      <w:r>
        <w:fldChar w:fldCharType="end"/>
      </w:r>
      <w:r>
        <w:t xml:space="preserve">: No DL </w:t>
      </w:r>
      <w:r w:rsidR="001D70F4">
        <w:t>test cases</w:t>
      </w:r>
      <w:r>
        <w:t xml:space="preserve"> </w:t>
      </w:r>
      <w:r w:rsidR="007C1F4C">
        <w:t>are</w:t>
      </w:r>
      <w:r>
        <w:t xml:space="preserve"> tested with UL </w:t>
      </w:r>
      <w:r w:rsidR="00550234">
        <w:t>and/or</w:t>
      </w:r>
      <w:r>
        <w:t xml:space="preserve"> DL UBF</w:t>
      </w:r>
      <w:bookmarkEnd w:id="4"/>
    </w:p>
    <w:p w14:paraId="68B9490C" w14:textId="4E89D9BA" w:rsidR="001D70F4" w:rsidRDefault="00DE37AB" w:rsidP="001D70F4">
      <w:r>
        <w:t xml:space="preserve">Link antennas </w:t>
      </w:r>
      <w:r w:rsidR="00014468">
        <w:t>are</w:t>
      </w:r>
      <w:r>
        <w:t xml:space="preserve"> traditionally </w:t>
      </w:r>
      <w:r w:rsidR="00014468">
        <w:t>placed</w:t>
      </w:r>
      <w:r>
        <w:t xml:space="preserve"> in </w:t>
      </w:r>
      <w:proofErr w:type="gramStart"/>
      <w:r>
        <w:t>close proximity</w:t>
      </w:r>
      <w:proofErr w:type="gramEnd"/>
      <w:r>
        <w:t xml:space="preserve"> </w:t>
      </w:r>
      <w:r w:rsidR="00E02F1E">
        <w:t>of</w:t>
      </w:r>
      <w:r>
        <w:t xml:space="preserve"> the DUT </w:t>
      </w:r>
      <w:r w:rsidR="00112AF0">
        <w:t>mounted</w:t>
      </w:r>
      <w:r>
        <w:t xml:space="preserve"> in the centre of the quiet zone</w:t>
      </w:r>
      <w:r w:rsidR="000A4936">
        <w:t xml:space="preserve"> to </w:t>
      </w:r>
      <w:r w:rsidR="00144F43">
        <w:t>reduce the path loss between link antenna and DUT and to allow near-field coupling</w:t>
      </w:r>
      <w:r w:rsidR="00362813">
        <w:t xml:space="preserve"> with potentially less distinct nulls in the DUT antenna pattern in the near field when compared to the far field. </w:t>
      </w:r>
      <w:r w:rsidR="00112AF0">
        <w:t>Link antennas furthermore</w:t>
      </w:r>
      <w:r w:rsidR="00DF678F">
        <w:t xml:space="preserve"> are commonly placed in the opposite direction of the measurement direction</w:t>
      </w:r>
      <w:r w:rsidR="004177E7">
        <w:t xml:space="preserve"> to reduce the effect, e.g., ripple,</w:t>
      </w:r>
      <w:r w:rsidR="00C26D23">
        <w:t xml:space="preserve"> of the link antenna on the actual measurements. </w:t>
      </w:r>
    </w:p>
    <w:p w14:paraId="384BB62C" w14:textId="29A36838" w:rsidR="005530D4" w:rsidRDefault="005530D4" w:rsidP="005530D4">
      <w:pPr>
        <w:pStyle w:val="Caption"/>
      </w:pPr>
      <w:bookmarkStart w:id="5" w:name="_Ref2349572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163C5">
        <w:rPr>
          <w:noProof/>
        </w:rPr>
        <w:t>2</w:t>
      </w:r>
      <w:r>
        <w:fldChar w:fldCharType="end"/>
      </w:r>
      <w:r>
        <w:t xml:space="preserve">: Link antennas are generally placed in </w:t>
      </w:r>
      <w:proofErr w:type="gramStart"/>
      <w:r>
        <w:t>close proximity</w:t>
      </w:r>
      <w:proofErr w:type="gramEnd"/>
      <w:r>
        <w:t xml:space="preserve"> and in opposite directions of the measurement antenna(s)</w:t>
      </w:r>
      <w:bookmarkEnd w:id="5"/>
    </w:p>
    <w:p w14:paraId="07334378" w14:textId="0B45423C" w:rsidR="005530D4" w:rsidRDefault="006330DD" w:rsidP="005530D4">
      <w:r>
        <w:t xml:space="preserve">For </w:t>
      </w:r>
      <w:r w:rsidR="008C3AA4">
        <w:t>NR FR2 MIMO OTA, a</w:t>
      </w:r>
      <w:r w:rsidR="001B6B07">
        <w:t xml:space="preserve">n example </w:t>
      </w:r>
      <w:r w:rsidR="008C3AA4">
        <w:t xml:space="preserve">system implementation </w:t>
      </w:r>
      <w:r w:rsidR="001B6B07">
        <w:t xml:space="preserve">is illustrated in </w:t>
      </w:r>
      <w:r w:rsidR="001B6B07">
        <w:fldChar w:fldCharType="begin"/>
      </w:r>
      <w:r w:rsidR="001B6B07">
        <w:instrText xml:space="preserve"> REF _Ref23492642 \h </w:instrText>
      </w:r>
      <w:r w:rsidR="001B6B07">
        <w:fldChar w:fldCharType="separate"/>
      </w:r>
      <w:r w:rsidR="00D163C5">
        <w:t xml:space="preserve">Figure </w:t>
      </w:r>
      <w:r w:rsidR="00D163C5">
        <w:rPr>
          <w:noProof/>
        </w:rPr>
        <w:t>1</w:t>
      </w:r>
      <w:r w:rsidR="001B6B07">
        <w:fldChar w:fldCharType="end"/>
      </w:r>
      <w:r w:rsidR="001B6B07">
        <w:t xml:space="preserve"> with</w:t>
      </w:r>
      <w:r w:rsidR="00A2725D">
        <w:t xml:space="preserve"> </w:t>
      </w:r>
      <w:r w:rsidR="001B6B07">
        <w:t xml:space="preserve">DL </w:t>
      </w:r>
      <w:r w:rsidR="00624B98">
        <w:t xml:space="preserve">MIMO </w:t>
      </w:r>
      <w:r w:rsidR="001B6B07">
        <w:t>probes</w:t>
      </w:r>
      <w:r w:rsidR="00653FC5">
        <w:t xml:space="preserve"> </w:t>
      </w:r>
      <w:r w:rsidR="00A2725D">
        <w:t xml:space="preserve">(spread out in AZ and EL) </w:t>
      </w:r>
      <w:r w:rsidR="00653FC5">
        <w:t>illustrated</w:t>
      </w:r>
      <w:r w:rsidR="00637297">
        <w:t xml:space="preserve"> in red and the link antenna in green</w:t>
      </w:r>
      <w:r w:rsidR="00A2725D">
        <w:t xml:space="preserve"> (placed in close proximity</w:t>
      </w:r>
      <w:r w:rsidR="00624B98">
        <w:t xml:space="preserve"> and in a direction opposite to the DL MIMO probes)</w:t>
      </w:r>
      <w:r w:rsidR="002F0FDC">
        <w:t xml:space="preserve">. </w:t>
      </w:r>
      <w:r w:rsidR="00D21A3E">
        <w:t xml:space="preserve">With the proposed approach in </w:t>
      </w:r>
      <w:r w:rsidR="00D21A3E">
        <w:fldChar w:fldCharType="begin"/>
      </w:r>
      <w:r w:rsidR="00D21A3E">
        <w:instrText xml:space="preserve"> REF _Ref23489532 \r \h </w:instrText>
      </w:r>
      <w:r w:rsidR="00D21A3E">
        <w:fldChar w:fldCharType="separate"/>
      </w:r>
      <w:r w:rsidR="00D163C5">
        <w:t>[1]</w:t>
      </w:r>
      <w:r w:rsidR="00D21A3E">
        <w:fldChar w:fldCharType="end"/>
      </w:r>
      <w:r w:rsidR="00D21A3E">
        <w:t xml:space="preserve">, </w:t>
      </w:r>
      <w:r w:rsidR="00147150">
        <w:t>the connection with the link antenna would be established first</w:t>
      </w:r>
      <w:r w:rsidR="0017592D">
        <w:t xml:space="preserve"> and the UL beam would be locked towards the link antenna. Subsequently, the </w:t>
      </w:r>
      <w:r w:rsidR="00F255F3">
        <w:t xml:space="preserve">DL MIMO performance would be tested </w:t>
      </w:r>
      <w:r w:rsidR="00116CDF">
        <w:t xml:space="preserve">with the </w:t>
      </w:r>
      <w:r w:rsidR="00F255F3">
        <w:t xml:space="preserve">DL MIMO probes. The concern </w:t>
      </w:r>
      <w:r w:rsidR="00041D7C">
        <w:t>with this approach is that the initial connection establishment could activate an antenna panel</w:t>
      </w:r>
      <w:r w:rsidR="00CF6324">
        <w:t xml:space="preserve"> </w:t>
      </w:r>
      <w:r w:rsidR="00144CD2">
        <w:t xml:space="preserve">(shown schematically in blue) </w:t>
      </w:r>
      <w:r w:rsidR="00CF6324">
        <w:t xml:space="preserve">that covers the </w:t>
      </w:r>
      <w:r w:rsidR="00A216A5">
        <w:t xml:space="preserve">hemisphere in the direction </w:t>
      </w:r>
      <w:r w:rsidR="00116CDF">
        <w:t xml:space="preserve">opposite </w:t>
      </w:r>
      <w:r w:rsidR="00A216A5">
        <w:t>of the MIMO probes</w:t>
      </w:r>
      <w:r w:rsidR="002A668E">
        <w:t>. The UL UBF could t</w:t>
      </w:r>
      <w:r w:rsidR="000C0D30">
        <w:t xml:space="preserve">herefore result in very poor DL MIMO performance </w:t>
      </w:r>
      <w:r w:rsidR="00563799">
        <w:t>as the antenna array could have very limited DL beam steering</w:t>
      </w:r>
      <w:r w:rsidR="00701C00">
        <w:t xml:space="preserve"> capabilities towards the </w:t>
      </w:r>
      <w:r w:rsidR="00AB1662">
        <w:t xml:space="preserve">direction of the </w:t>
      </w:r>
      <w:r w:rsidR="005A32AA">
        <w:t xml:space="preserve">DL MIMO probes. For instance, without an </w:t>
      </w:r>
      <w:r w:rsidR="0004411A">
        <w:t xml:space="preserve">initial </w:t>
      </w:r>
      <w:r w:rsidR="005A32AA">
        <w:t xml:space="preserve">UL UBF </w:t>
      </w:r>
      <w:r w:rsidR="003F1802">
        <w:t xml:space="preserve">with </w:t>
      </w:r>
      <w:r w:rsidR="0004411A">
        <w:t>the</w:t>
      </w:r>
      <w:r w:rsidR="003F1802">
        <w:t xml:space="preserve"> UL link antenna</w:t>
      </w:r>
      <w:r w:rsidR="00E239A7">
        <w:t>, the UE could activate the yellow antenna panel</w:t>
      </w:r>
      <w:r w:rsidR="00585F94">
        <w:t xml:space="preserve"> with optimized performance towards the hemisphere</w:t>
      </w:r>
      <w:r w:rsidR="00766CFC">
        <w:t xml:space="preserve"> where the DL MIMO probes are located. </w:t>
      </w:r>
    </w:p>
    <w:p w14:paraId="2EB0C698" w14:textId="09D58BD3" w:rsidR="00766CFC" w:rsidRDefault="00766CFC" w:rsidP="00766CFC">
      <w:pPr>
        <w:pStyle w:val="Caption"/>
      </w:pPr>
      <w:bookmarkStart w:id="6" w:name="_Ref2349572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163C5">
        <w:rPr>
          <w:noProof/>
        </w:rPr>
        <w:t>3</w:t>
      </w:r>
      <w:r>
        <w:fldChar w:fldCharType="end"/>
      </w:r>
      <w:r>
        <w:t xml:space="preserve">: The UL UBF for NR FR2 MIMO OTA could results in undesirable, very poor </w:t>
      </w:r>
      <w:r w:rsidR="001F5395">
        <w:t xml:space="preserve">measured </w:t>
      </w:r>
      <w:r>
        <w:t>DL MIMO OTA performance</w:t>
      </w:r>
      <w:bookmarkEnd w:id="6"/>
    </w:p>
    <w:p w14:paraId="386B6DCA" w14:textId="3732E3ED" w:rsidR="001B6B07" w:rsidRDefault="00144CD2" w:rsidP="00A2725D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29968724" wp14:editId="35B9E27F">
            <wp:extent cx="4048125" cy="3749675"/>
            <wp:effectExtent l="0" t="0" r="952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74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9FC65C" w14:textId="3A45454A" w:rsidR="001B6B07" w:rsidRDefault="001B6B07" w:rsidP="001B6B07">
      <w:pPr>
        <w:pStyle w:val="Caption"/>
        <w:jc w:val="center"/>
      </w:pPr>
      <w:bookmarkStart w:id="7" w:name="_Ref234926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63C5">
        <w:rPr>
          <w:noProof/>
        </w:rPr>
        <w:t>1</w:t>
      </w:r>
      <w:r>
        <w:fldChar w:fldCharType="end"/>
      </w:r>
      <w:bookmarkEnd w:id="7"/>
      <w:r>
        <w:t>: Illustration of example NR FR2 MIMO Setup</w:t>
      </w:r>
    </w:p>
    <w:p w14:paraId="3F64F0BE" w14:textId="1E746DE3" w:rsidR="005C4B2E" w:rsidRDefault="005C4B2E" w:rsidP="005C4B2E"/>
    <w:p w14:paraId="73A84E2A" w14:textId="53A16E72" w:rsidR="005C4B2E" w:rsidRDefault="005C4B2E" w:rsidP="005C4B2E">
      <w:r>
        <w:t xml:space="preserve">During the ad-hoc discussion of </w:t>
      </w:r>
      <w:r w:rsidR="009034AC">
        <w:fldChar w:fldCharType="begin"/>
      </w:r>
      <w:r w:rsidR="009034AC">
        <w:instrText xml:space="preserve"> REF _Ref23489532 \r \h </w:instrText>
      </w:r>
      <w:r w:rsidR="009034AC">
        <w:fldChar w:fldCharType="separate"/>
      </w:r>
      <w:r w:rsidR="00D163C5">
        <w:t>[1]</w:t>
      </w:r>
      <w:r w:rsidR="009034AC">
        <w:fldChar w:fldCharType="end"/>
      </w:r>
      <w:r w:rsidR="009034AC">
        <w:t xml:space="preserve">, it was </w:t>
      </w:r>
      <w:r w:rsidR="002B6193">
        <w:t>suggested</w:t>
      </w:r>
      <w:r w:rsidR="009034AC">
        <w:t xml:space="preserve"> to place the link antenna </w:t>
      </w:r>
      <w:r w:rsidR="00607B69">
        <w:t xml:space="preserve">between the </w:t>
      </w:r>
      <w:r w:rsidR="00E71E0B">
        <w:t xml:space="preserve">DL MIMO OTA probes as illustrated in </w:t>
      </w:r>
      <w:r w:rsidR="009B1E9D">
        <w:fldChar w:fldCharType="begin"/>
      </w:r>
      <w:r w:rsidR="009B1E9D">
        <w:instrText xml:space="preserve"> REF _Ref23494839 \h </w:instrText>
      </w:r>
      <w:r w:rsidR="009B1E9D">
        <w:fldChar w:fldCharType="separate"/>
      </w:r>
      <w:r w:rsidR="00D163C5">
        <w:t xml:space="preserve">Figure </w:t>
      </w:r>
      <w:r w:rsidR="00D163C5">
        <w:rPr>
          <w:noProof/>
        </w:rPr>
        <w:t>2</w:t>
      </w:r>
      <w:r w:rsidR="009B1E9D">
        <w:fldChar w:fldCharType="end"/>
      </w:r>
      <w:r w:rsidR="009B1E9D">
        <w:t>.</w:t>
      </w:r>
    </w:p>
    <w:p w14:paraId="0CC94DE7" w14:textId="7DAAA579" w:rsidR="00E71E0B" w:rsidRDefault="00E71E0B" w:rsidP="00AB5B3B">
      <w:pPr>
        <w:spacing w:after="0"/>
        <w:jc w:val="center"/>
      </w:pPr>
      <w:r>
        <w:rPr>
          <w:noProof/>
        </w:rPr>
        <w:drawing>
          <wp:inline distT="0" distB="0" distL="0" distR="0" wp14:anchorId="3A11AF24" wp14:editId="00043DC3">
            <wp:extent cx="4048125" cy="3749675"/>
            <wp:effectExtent l="0" t="0" r="952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74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E4C54D" w14:textId="1A826DB0" w:rsidR="00E71E0B" w:rsidRDefault="00E71E0B" w:rsidP="00E71E0B">
      <w:pPr>
        <w:pStyle w:val="Caption"/>
        <w:jc w:val="center"/>
      </w:pPr>
      <w:bookmarkStart w:id="8" w:name="_Ref234948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63C5">
        <w:rPr>
          <w:noProof/>
        </w:rPr>
        <w:t>2</w:t>
      </w:r>
      <w:r>
        <w:fldChar w:fldCharType="end"/>
      </w:r>
      <w:bookmarkEnd w:id="8"/>
      <w:r>
        <w:t>: Illustration of example NR FR2 MIMO Setup</w:t>
      </w:r>
      <w:r w:rsidR="00AB5B3B">
        <w:t xml:space="preserve"> with link antenna placed in </w:t>
      </w:r>
      <w:proofErr w:type="gramStart"/>
      <w:r w:rsidR="00AB5B3B">
        <w:t>close proximity</w:t>
      </w:r>
      <w:proofErr w:type="gramEnd"/>
      <w:r w:rsidR="00AB5B3B">
        <w:t xml:space="preserve"> of DL probes</w:t>
      </w:r>
    </w:p>
    <w:p w14:paraId="169B16AF" w14:textId="28C05C04" w:rsidR="00E71E0B" w:rsidRDefault="009B1E9D" w:rsidP="005C4B2E">
      <w:r>
        <w:lastRenderedPageBreak/>
        <w:t xml:space="preserve">As illustrated, this would activate the correct antenna panel (shown in yellow) and </w:t>
      </w:r>
      <w:r w:rsidR="004F438E">
        <w:t xml:space="preserve">therefore </w:t>
      </w:r>
      <w:r>
        <w:t>yield</w:t>
      </w:r>
      <w:r w:rsidR="00684BF3">
        <w:t xml:space="preserve"> the correct DL MIMO performance. However, it is not clear </w:t>
      </w:r>
      <w:r w:rsidR="00DD67F1">
        <w:t>why</w:t>
      </w:r>
      <w:r w:rsidR="00684BF3">
        <w:t xml:space="preserve"> the UL UBF </w:t>
      </w:r>
      <w:r w:rsidR="00F5181B">
        <w:t xml:space="preserve">with this </w:t>
      </w:r>
      <w:proofErr w:type="gramStart"/>
      <w:r w:rsidR="00F5181B">
        <w:t>particular link</w:t>
      </w:r>
      <w:proofErr w:type="gramEnd"/>
      <w:r w:rsidR="00F5181B">
        <w:t xml:space="preserve"> antenna configuration is needed. More importantly, </w:t>
      </w:r>
      <w:r w:rsidR="004F438E">
        <w:t>this link antenna configuration</w:t>
      </w:r>
      <w:r w:rsidR="0038144E">
        <w:t xml:space="preserve"> is very restrictive and limits other approaches</w:t>
      </w:r>
    </w:p>
    <w:p w14:paraId="330FB986" w14:textId="415F31BB" w:rsidR="0038144E" w:rsidRDefault="0038144E" w:rsidP="0038144E">
      <w:pPr>
        <w:pStyle w:val="Caption"/>
      </w:pPr>
      <w:bookmarkStart w:id="9" w:name="_Ref2349572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163C5">
        <w:rPr>
          <w:noProof/>
        </w:rPr>
        <w:t>4</w:t>
      </w:r>
      <w:r>
        <w:fldChar w:fldCharType="end"/>
      </w:r>
      <w:r>
        <w:t xml:space="preserve">: </w:t>
      </w:r>
      <w:r w:rsidR="006F6B93">
        <w:t xml:space="preserve">The need for </w:t>
      </w:r>
      <w:r w:rsidR="00EC534E">
        <w:t>UL UBF with s</w:t>
      </w:r>
      <w:r w:rsidR="006E22FA">
        <w:t>uggested l</w:t>
      </w:r>
      <w:r>
        <w:t xml:space="preserve">ink antenna configurations </w:t>
      </w:r>
      <w:r w:rsidR="00EC534E">
        <w:t xml:space="preserve">is not clear and requiring the link antenna to be placed in </w:t>
      </w:r>
      <w:proofErr w:type="gramStart"/>
      <w:r w:rsidR="00EC534E">
        <w:t>close proximity</w:t>
      </w:r>
      <w:proofErr w:type="gramEnd"/>
      <w:r w:rsidR="00EC534E">
        <w:t xml:space="preserve"> of DL probes</w:t>
      </w:r>
      <w:r w:rsidR="002A2B00">
        <w:t xml:space="preserve"> is too restrictive</w:t>
      </w:r>
      <w:bookmarkEnd w:id="9"/>
    </w:p>
    <w:p w14:paraId="77033C22" w14:textId="04A101DC" w:rsidR="001F389C" w:rsidRDefault="001F389C" w:rsidP="001F389C">
      <w:r>
        <w:t xml:space="preserve">Based on </w:t>
      </w:r>
      <w:r w:rsidR="00BA248C">
        <w:t>the observations noted in this document, it is proposed not to require the UL UBF for NR FR2 MIMO OTA test cases at this point</w:t>
      </w:r>
      <w:r w:rsidR="00506585">
        <w:t xml:space="preserve"> without </w:t>
      </w:r>
      <w:bookmarkStart w:id="10" w:name="_GoBack"/>
      <w:bookmarkEnd w:id="10"/>
      <w:r w:rsidR="00506585">
        <w:t>closer investigations</w:t>
      </w:r>
      <w:r w:rsidR="00DA2E4E">
        <w:t xml:space="preserve"> and more experience with these test cases. </w:t>
      </w:r>
    </w:p>
    <w:p w14:paraId="1F0F767A" w14:textId="1B5743B1" w:rsidR="00DA2E4E" w:rsidRDefault="00DA2E4E" w:rsidP="00DA2E4E">
      <w:pPr>
        <w:pStyle w:val="Caption"/>
      </w:pPr>
      <w:bookmarkStart w:id="11" w:name="_Ref2349573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163C5">
        <w:rPr>
          <w:noProof/>
        </w:rPr>
        <w:t>1</w:t>
      </w:r>
      <w:r>
        <w:fldChar w:fldCharType="end"/>
      </w:r>
      <w:r>
        <w:t xml:space="preserve">: Do not require </w:t>
      </w:r>
      <w:bookmarkEnd w:id="2"/>
      <w:r>
        <w:t>the UL UBF for NR FR2 MIMO OTA test cases at this point without closer investigations and more experience with these test cases</w:t>
      </w:r>
      <w:bookmarkEnd w:id="11"/>
      <w:r>
        <w:t xml:space="preserve"> </w:t>
      </w:r>
    </w:p>
    <w:p w14:paraId="35952390" w14:textId="59FECD1B" w:rsidR="008B0529" w:rsidRDefault="0053435C" w:rsidP="00DA2E4E">
      <w:pPr>
        <w:pStyle w:val="Heading1"/>
      </w:pPr>
      <w:r>
        <w:t>Conclusion</w:t>
      </w:r>
    </w:p>
    <w:p w14:paraId="35952391" w14:textId="1E80E590" w:rsidR="008B0529" w:rsidRDefault="0053435C" w:rsidP="008B0529">
      <w:r>
        <w:t>The following observations and proposals were made in this contribution</w:t>
      </w:r>
    </w:p>
    <w:p w14:paraId="51F398EF" w14:textId="40B6B0E6" w:rsidR="00DA2E4E" w:rsidRPr="00A827A6" w:rsidRDefault="00DA2E4E" w:rsidP="008B0529">
      <w:pPr>
        <w:rPr>
          <w:b/>
        </w:rPr>
      </w:pPr>
      <w:r w:rsidRPr="00A827A6">
        <w:rPr>
          <w:b/>
        </w:rPr>
        <w:fldChar w:fldCharType="begin"/>
      </w:r>
      <w:r w:rsidRPr="00A827A6">
        <w:rPr>
          <w:b/>
        </w:rPr>
        <w:instrText xml:space="preserve"> REF _Ref23495714 \h  \* MERGEFORMAT </w:instrText>
      </w:r>
      <w:r w:rsidRPr="00A827A6">
        <w:rPr>
          <w:b/>
        </w:rPr>
      </w:r>
      <w:r w:rsidRPr="00A827A6">
        <w:rPr>
          <w:b/>
        </w:rPr>
        <w:fldChar w:fldCharType="separate"/>
      </w:r>
      <w:r w:rsidR="00D163C5" w:rsidRPr="00D163C5">
        <w:rPr>
          <w:b/>
        </w:rPr>
        <w:t xml:space="preserve">Observation </w:t>
      </w:r>
      <w:r w:rsidR="00D163C5" w:rsidRPr="00D163C5">
        <w:rPr>
          <w:b/>
          <w:noProof/>
        </w:rPr>
        <w:t>1</w:t>
      </w:r>
      <w:r w:rsidR="00D163C5" w:rsidRPr="00D163C5">
        <w:rPr>
          <w:b/>
        </w:rPr>
        <w:t>: No DL test cases are tested with UL and/or DL UBF</w:t>
      </w:r>
      <w:r w:rsidRPr="00A827A6">
        <w:rPr>
          <w:b/>
        </w:rPr>
        <w:fldChar w:fldCharType="end"/>
      </w:r>
    </w:p>
    <w:p w14:paraId="1C6EB579" w14:textId="15050F2C" w:rsidR="00DA2E4E" w:rsidRPr="00A827A6" w:rsidRDefault="00DA2E4E" w:rsidP="008B0529">
      <w:pPr>
        <w:rPr>
          <w:b/>
        </w:rPr>
      </w:pPr>
      <w:r w:rsidRPr="00A827A6">
        <w:rPr>
          <w:b/>
        </w:rPr>
        <w:fldChar w:fldCharType="begin"/>
      </w:r>
      <w:r w:rsidRPr="00A827A6">
        <w:rPr>
          <w:b/>
        </w:rPr>
        <w:instrText xml:space="preserve"> REF _Ref23495720 \h  \* MERGEFORMAT </w:instrText>
      </w:r>
      <w:r w:rsidRPr="00A827A6">
        <w:rPr>
          <w:b/>
        </w:rPr>
      </w:r>
      <w:r w:rsidRPr="00A827A6">
        <w:rPr>
          <w:b/>
        </w:rPr>
        <w:fldChar w:fldCharType="separate"/>
      </w:r>
      <w:r w:rsidR="00D163C5" w:rsidRPr="00D163C5">
        <w:rPr>
          <w:b/>
        </w:rPr>
        <w:t xml:space="preserve">Observation </w:t>
      </w:r>
      <w:r w:rsidR="00D163C5" w:rsidRPr="00D163C5">
        <w:rPr>
          <w:b/>
          <w:noProof/>
        </w:rPr>
        <w:t>2</w:t>
      </w:r>
      <w:r w:rsidR="00D163C5" w:rsidRPr="00D163C5">
        <w:rPr>
          <w:b/>
        </w:rPr>
        <w:t xml:space="preserve">: Link antennas are generally placed in </w:t>
      </w:r>
      <w:proofErr w:type="gramStart"/>
      <w:r w:rsidR="00D163C5" w:rsidRPr="00D163C5">
        <w:rPr>
          <w:b/>
        </w:rPr>
        <w:t>close proximity</w:t>
      </w:r>
      <w:proofErr w:type="gramEnd"/>
      <w:r w:rsidR="00D163C5" w:rsidRPr="00D163C5">
        <w:rPr>
          <w:b/>
        </w:rPr>
        <w:t xml:space="preserve"> and in opposite directions of the measurement antenna(s)</w:t>
      </w:r>
      <w:r w:rsidRPr="00A827A6">
        <w:rPr>
          <w:b/>
        </w:rPr>
        <w:fldChar w:fldCharType="end"/>
      </w:r>
    </w:p>
    <w:p w14:paraId="44151B0A" w14:textId="450DED6D" w:rsidR="00DA2E4E" w:rsidRPr="00A827A6" w:rsidRDefault="00DA2E4E" w:rsidP="008B0529">
      <w:pPr>
        <w:rPr>
          <w:b/>
        </w:rPr>
      </w:pPr>
      <w:r w:rsidRPr="00A827A6">
        <w:rPr>
          <w:b/>
        </w:rPr>
        <w:fldChar w:fldCharType="begin"/>
      </w:r>
      <w:r w:rsidRPr="00A827A6">
        <w:rPr>
          <w:b/>
        </w:rPr>
        <w:instrText xml:space="preserve"> REF _Ref23495724 \h  \* MERGEFORMAT </w:instrText>
      </w:r>
      <w:r w:rsidRPr="00A827A6">
        <w:rPr>
          <w:b/>
        </w:rPr>
      </w:r>
      <w:r w:rsidRPr="00A827A6">
        <w:rPr>
          <w:b/>
        </w:rPr>
        <w:fldChar w:fldCharType="separate"/>
      </w:r>
      <w:r w:rsidR="00D163C5" w:rsidRPr="00D163C5">
        <w:rPr>
          <w:b/>
        </w:rPr>
        <w:t xml:space="preserve">Observation </w:t>
      </w:r>
      <w:r w:rsidR="00D163C5" w:rsidRPr="00D163C5">
        <w:rPr>
          <w:b/>
          <w:noProof/>
        </w:rPr>
        <w:t>3</w:t>
      </w:r>
      <w:r w:rsidR="00D163C5" w:rsidRPr="00D163C5">
        <w:rPr>
          <w:b/>
        </w:rPr>
        <w:t>: The UL UBF for NR FR2 MIMO OTA could results in undesirable, very poor measured DL MIMO OTA performance</w:t>
      </w:r>
      <w:r w:rsidRPr="00A827A6">
        <w:rPr>
          <w:b/>
        </w:rPr>
        <w:fldChar w:fldCharType="end"/>
      </w:r>
    </w:p>
    <w:p w14:paraId="102A6AEB" w14:textId="6780736D" w:rsidR="00DA2E4E" w:rsidRPr="00A827A6" w:rsidRDefault="00DA2E4E" w:rsidP="008B0529">
      <w:pPr>
        <w:rPr>
          <w:b/>
        </w:rPr>
      </w:pPr>
      <w:r w:rsidRPr="00A827A6">
        <w:rPr>
          <w:b/>
        </w:rPr>
        <w:fldChar w:fldCharType="begin"/>
      </w:r>
      <w:r w:rsidRPr="00A827A6">
        <w:rPr>
          <w:b/>
        </w:rPr>
        <w:instrText xml:space="preserve"> REF _Ref23495728 \h  \* MERGEFORMAT </w:instrText>
      </w:r>
      <w:r w:rsidRPr="00A827A6">
        <w:rPr>
          <w:b/>
        </w:rPr>
      </w:r>
      <w:r w:rsidRPr="00A827A6">
        <w:rPr>
          <w:b/>
        </w:rPr>
        <w:fldChar w:fldCharType="separate"/>
      </w:r>
      <w:r w:rsidR="00D163C5" w:rsidRPr="00D163C5">
        <w:rPr>
          <w:b/>
        </w:rPr>
        <w:t xml:space="preserve">Observation </w:t>
      </w:r>
      <w:r w:rsidR="00D163C5" w:rsidRPr="00D163C5">
        <w:rPr>
          <w:b/>
          <w:noProof/>
        </w:rPr>
        <w:t>4</w:t>
      </w:r>
      <w:r w:rsidR="00D163C5" w:rsidRPr="00D163C5">
        <w:rPr>
          <w:b/>
        </w:rPr>
        <w:t xml:space="preserve">: The need for UL UBF with suggested link antenna configurations is not clear and requiring the link antenna to be placed in </w:t>
      </w:r>
      <w:proofErr w:type="gramStart"/>
      <w:r w:rsidR="00D163C5" w:rsidRPr="00D163C5">
        <w:rPr>
          <w:b/>
        </w:rPr>
        <w:t>close proximity</w:t>
      </w:r>
      <w:proofErr w:type="gramEnd"/>
      <w:r w:rsidR="00D163C5" w:rsidRPr="00D163C5">
        <w:rPr>
          <w:b/>
        </w:rPr>
        <w:t xml:space="preserve"> of DL probes is too restrictive</w:t>
      </w:r>
      <w:r w:rsidRPr="00A827A6">
        <w:rPr>
          <w:b/>
        </w:rPr>
        <w:fldChar w:fldCharType="end"/>
      </w:r>
    </w:p>
    <w:p w14:paraId="6152CB8E" w14:textId="04EFBCC6" w:rsidR="00DA2E4E" w:rsidRPr="00A827A6" w:rsidRDefault="00DA2E4E" w:rsidP="008B0529">
      <w:pPr>
        <w:rPr>
          <w:b/>
        </w:rPr>
      </w:pPr>
      <w:r w:rsidRPr="00A827A6">
        <w:rPr>
          <w:b/>
        </w:rPr>
        <w:fldChar w:fldCharType="begin"/>
      </w:r>
      <w:r w:rsidRPr="00A827A6">
        <w:rPr>
          <w:b/>
        </w:rPr>
        <w:instrText xml:space="preserve"> REF _Ref23495734 \h  \* MERGEFORMAT </w:instrText>
      </w:r>
      <w:r w:rsidRPr="00A827A6">
        <w:rPr>
          <w:b/>
        </w:rPr>
      </w:r>
      <w:r w:rsidRPr="00A827A6">
        <w:rPr>
          <w:b/>
        </w:rPr>
        <w:fldChar w:fldCharType="separate"/>
      </w:r>
      <w:r w:rsidR="00D163C5" w:rsidRPr="00D163C5">
        <w:rPr>
          <w:b/>
        </w:rPr>
        <w:t xml:space="preserve">Proposal </w:t>
      </w:r>
      <w:r w:rsidR="00D163C5" w:rsidRPr="00D163C5">
        <w:rPr>
          <w:b/>
          <w:noProof/>
        </w:rPr>
        <w:t>1</w:t>
      </w:r>
      <w:r w:rsidR="00D163C5" w:rsidRPr="00D163C5">
        <w:rPr>
          <w:b/>
        </w:rPr>
        <w:t>: Do not require the UL UBF for NR FR2 MIMO OTA test cases at this point without closer investigations and more experience with these test cases</w:t>
      </w:r>
      <w:r w:rsidRPr="00A827A6">
        <w:rPr>
          <w:b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6E60AFFE" w:rsidR="000547AB" w:rsidRDefault="00826456" w:rsidP="00236683">
      <w:pPr>
        <w:numPr>
          <w:ilvl w:val="0"/>
          <w:numId w:val="5"/>
        </w:numPr>
        <w:tabs>
          <w:tab w:val="left" w:pos="426"/>
        </w:tabs>
      </w:pPr>
      <w:bookmarkStart w:id="12" w:name="_Ref23489532"/>
      <w:r w:rsidRPr="00826456">
        <w:t>R4-1911807</w:t>
      </w:r>
      <w:r>
        <w:t xml:space="preserve">, </w:t>
      </w:r>
      <w:r w:rsidR="00300BC8" w:rsidRPr="00300BC8">
        <w:t>Usage of Tx Beam Lock for FR2 NR MIMO OTA testing</w:t>
      </w:r>
      <w:r w:rsidR="00300BC8">
        <w:t xml:space="preserve">, Rohde&amp;Schwarz, </w:t>
      </w:r>
      <w:r w:rsidR="00D030C4" w:rsidRPr="00D030C4">
        <w:t>3GPP TSG-RAN4 Meeting #92-Bis</w:t>
      </w:r>
      <w:r w:rsidR="00300BC8">
        <w:t xml:space="preserve">, </w:t>
      </w:r>
      <w:r w:rsidR="00BC3149">
        <w:t>October 2019</w:t>
      </w:r>
      <w:bookmarkEnd w:id="12"/>
    </w:p>
    <w:p w14:paraId="43215F4D" w14:textId="3391DE18" w:rsidR="00531155" w:rsidRDefault="00531155" w:rsidP="00236683">
      <w:pPr>
        <w:numPr>
          <w:ilvl w:val="0"/>
          <w:numId w:val="5"/>
        </w:numPr>
        <w:tabs>
          <w:tab w:val="left" w:pos="426"/>
        </w:tabs>
      </w:pPr>
      <w:bookmarkStart w:id="13" w:name="_Ref23490207"/>
      <w:r w:rsidRPr="00531155">
        <w:t>TS 38.509, Special conformance testing functions for User Equipment (UE), V15.5.0 (2019-09)</w:t>
      </w:r>
      <w:bookmarkEnd w:id="13"/>
    </w:p>
    <w:p w14:paraId="406CC52C" w14:textId="77777777" w:rsidR="00D92FBA" w:rsidRPr="00D92FBA" w:rsidRDefault="00D92FBA" w:rsidP="00D92FBA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sz w:val="20"/>
          <w:szCs w:val="20"/>
          <w:lang w:val="en-GB"/>
        </w:rPr>
      </w:pPr>
      <w:bookmarkStart w:id="14" w:name="_Ref23490423"/>
      <w:r w:rsidRPr="00D92FBA">
        <w:rPr>
          <w:rFonts w:ascii="Times New Roman" w:eastAsia="Times New Roman" w:hAnsi="Times New Roman"/>
          <w:sz w:val="20"/>
          <w:szCs w:val="20"/>
          <w:lang w:val="en-GB"/>
        </w:rPr>
        <w:t>TR38.810, Study on test methods, V16.4.0 (2019-09)</w:t>
      </w:r>
      <w:bookmarkEnd w:id="14"/>
    </w:p>
    <w:p w14:paraId="7E0200F4" w14:textId="44603831" w:rsidR="00D15059" w:rsidRPr="00052390" w:rsidRDefault="00815FCD" w:rsidP="00236683">
      <w:pPr>
        <w:numPr>
          <w:ilvl w:val="0"/>
          <w:numId w:val="5"/>
        </w:numPr>
        <w:tabs>
          <w:tab w:val="left" w:pos="426"/>
        </w:tabs>
      </w:pPr>
      <w:bookmarkStart w:id="15" w:name="_Ref23495799"/>
      <w:r w:rsidRPr="00815FCD">
        <w:t>RP-191603</w:t>
      </w:r>
      <w:r w:rsidR="00ED2E7F">
        <w:t xml:space="preserve">, </w:t>
      </w:r>
      <w:r w:rsidR="00ED2E7F" w:rsidRPr="00ED2E7F">
        <w:t>5G-NR FR2 Transmitter &amp; Receiver Testability Issues</w:t>
      </w:r>
      <w:r w:rsidR="00ED2E7F">
        <w:t xml:space="preserve">, </w:t>
      </w:r>
      <w:r w:rsidR="00E24141">
        <w:t xml:space="preserve">TSG RAN, </w:t>
      </w:r>
      <w:r w:rsidR="00C126F0" w:rsidRPr="00C126F0">
        <w:t>3GPP TSG RAN Meeting #84</w:t>
      </w:r>
      <w:r w:rsidR="00C126F0">
        <w:t>, June 2019</w:t>
      </w:r>
      <w:bookmarkEnd w:id="15"/>
    </w:p>
    <w:sectPr w:rsidR="00D15059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D3CC0" w14:textId="77777777" w:rsidR="00244EEE" w:rsidRDefault="00244EEE">
      <w:r>
        <w:separator/>
      </w:r>
    </w:p>
  </w:endnote>
  <w:endnote w:type="continuationSeparator" w:id="0">
    <w:p w14:paraId="5D2FF624" w14:textId="77777777" w:rsidR="00244EEE" w:rsidRDefault="00244EEE">
      <w:r>
        <w:continuationSeparator/>
      </w:r>
    </w:p>
  </w:endnote>
  <w:endnote w:type="continuationNotice" w:id="1">
    <w:p w14:paraId="48413BE1" w14:textId="77777777" w:rsidR="00244EEE" w:rsidRDefault="00244E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6D9B1" w14:textId="77777777" w:rsidR="00244EEE" w:rsidRDefault="00244EEE">
      <w:r>
        <w:separator/>
      </w:r>
    </w:p>
  </w:footnote>
  <w:footnote w:type="continuationSeparator" w:id="0">
    <w:p w14:paraId="6ADAE69F" w14:textId="77777777" w:rsidR="00244EEE" w:rsidRDefault="00244EEE">
      <w:r>
        <w:continuationSeparator/>
      </w:r>
    </w:p>
  </w:footnote>
  <w:footnote w:type="continuationNotice" w:id="1">
    <w:p w14:paraId="06C85E24" w14:textId="77777777" w:rsidR="00244EEE" w:rsidRDefault="00244E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4468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D7C"/>
    <w:rsid w:val="000439E6"/>
    <w:rsid w:val="0004411A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A4936"/>
    <w:rsid w:val="000B25D3"/>
    <w:rsid w:val="000C0D30"/>
    <w:rsid w:val="000C2440"/>
    <w:rsid w:val="000C3463"/>
    <w:rsid w:val="000C640F"/>
    <w:rsid w:val="000D39C6"/>
    <w:rsid w:val="000D6B69"/>
    <w:rsid w:val="000D6CFC"/>
    <w:rsid w:val="000E24A4"/>
    <w:rsid w:val="001020BB"/>
    <w:rsid w:val="00104DB6"/>
    <w:rsid w:val="00112AF0"/>
    <w:rsid w:val="00114DB9"/>
    <w:rsid w:val="00116CDF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4CD2"/>
    <w:rsid w:val="00144F43"/>
    <w:rsid w:val="001458A3"/>
    <w:rsid w:val="00147150"/>
    <w:rsid w:val="00150099"/>
    <w:rsid w:val="00152172"/>
    <w:rsid w:val="00153528"/>
    <w:rsid w:val="00157AD8"/>
    <w:rsid w:val="00166A36"/>
    <w:rsid w:val="001741AE"/>
    <w:rsid w:val="001758FB"/>
    <w:rsid w:val="0017592D"/>
    <w:rsid w:val="00196F9F"/>
    <w:rsid w:val="001A08AA"/>
    <w:rsid w:val="001A17A5"/>
    <w:rsid w:val="001A2BC5"/>
    <w:rsid w:val="001A2EF9"/>
    <w:rsid w:val="001A3120"/>
    <w:rsid w:val="001A3BFA"/>
    <w:rsid w:val="001A6746"/>
    <w:rsid w:val="001B2108"/>
    <w:rsid w:val="001B231F"/>
    <w:rsid w:val="001B6A72"/>
    <w:rsid w:val="001B6B07"/>
    <w:rsid w:val="001C00AA"/>
    <w:rsid w:val="001C0CFD"/>
    <w:rsid w:val="001C3A35"/>
    <w:rsid w:val="001C3CCB"/>
    <w:rsid w:val="001C4A15"/>
    <w:rsid w:val="001C687E"/>
    <w:rsid w:val="001D70F4"/>
    <w:rsid w:val="001D7D91"/>
    <w:rsid w:val="001D7F4A"/>
    <w:rsid w:val="001E1CF6"/>
    <w:rsid w:val="001E4636"/>
    <w:rsid w:val="001E6DC6"/>
    <w:rsid w:val="001F389C"/>
    <w:rsid w:val="001F5395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762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2B00"/>
    <w:rsid w:val="002A4112"/>
    <w:rsid w:val="002A668E"/>
    <w:rsid w:val="002A7017"/>
    <w:rsid w:val="002A7F4B"/>
    <w:rsid w:val="002B11F7"/>
    <w:rsid w:val="002B3F06"/>
    <w:rsid w:val="002B4D62"/>
    <w:rsid w:val="002B6193"/>
    <w:rsid w:val="002C1E1B"/>
    <w:rsid w:val="002C2040"/>
    <w:rsid w:val="002C3FDB"/>
    <w:rsid w:val="002C7D13"/>
    <w:rsid w:val="002D0D61"/>
    <w:rsid w:val="002D44BD"/>
    <w:rsid w:val="002D69EF"/>
    <w:rsid w:val="002E465A"/>
    <w:rsid w:val="002E47F7"/>
    <w:rsid w:val="002E5F31"/>
    <w:rsid w:val="002F0FDC"/>
    <w:rsid w:val="002F4093"/>
    <w:rsid w:val="002F5FAD"/>
    <w:rsid w:val="00300544"/>
    <w:rsid w:val="00300BC8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2813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44E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26A8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802"/>
    <w:rsid w:val="003F1AEA"/>
    <w:rsid w:val="003F1D13"/>
    <w:rsid w:val="003F6395"/>
    <w:rsid w:val="003F6FF1"/>
    <w:rsid w:val="004006F6"/>
    <w:rsid w:val="0040097C"/>
    <w:rsid w:val="0040139E"/>
    <w:rsid w:val="004026D0"/>
    <w:rsid w:val="00403923"/>
    <w:rsid w:val="004048A9"/>
    <w:rsid w:val="00413C3E"/>
    <w:rsid w:val="00413C6C"/>
    <w:rsid w:val="0041477A"/>
    <w:rsid w:val="00417068"/>
    <w:rsid w:val="004177E7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15A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438E"/>
    <w:rsid w:val="004F554E"/>
    <w:rsid w:val="004F7A3D"/>
    <w:rsid w:val="004F7C82"/>
    <w:rsid w:val="00501CEE"/>
    <w:rsid w:val="00505BFA"/>
    <w:rsid w:val="00506585"/>
    <w:rsid w:val="005069C0"/>
    <w:rsid w:val="00511254"/>
    <w:rsid w:val="00511BD5"/>
    <w:rsid w:val="00512458"/>
    <w:rsid w:val="00513632"/>
    <w:rsid w:val="00517B81"/>
    <w:rsid w:val="00520CFC"/>
    <w:rsid w:val="00522C5E"/>
    <w:rsid w:val="005239FE"/>
    <w:rsid w:val="00526FA7"/>
    <w:rsid w:val="00531155"/>
    <w:rsid w:val="0053435C"/>
    <w:rsid w:val="00541EB9"/>
    <w:rsid w:val="00543311"/>
    <w:rsid w:val="00546367"/>
    <w:rsid w:val="005471FE"/>
    <w:rsid w:val="00547986"/>
    <w:rsid w:val="00550234"/>
    <w:rsid w:val="005530D4"/>
    <w:rsid w:val="00554A16"/>
    <w:rsid w:val="005550DD"/>
    <w:rsid w:val="005603F5"/>
    <w:rsid w:val="00563799"/>
    <w:rsid w:val="005649A1"/>
    <w:rsid w:val="00566838"/>
    <w:rsid w:val="00580542"/>
    <w:rsid w:val="00580587"/>
    <w:rsid w:val="00581E88"/>
    <w:rsid w:val="0058392F"/>
    <w:rsid w:val="00585B23"/>
    <w:rsid w:val="00585F94"/>
    <w:rsid w:val="005908D2"/>
    <w:rsid w:val="0059172A"/>
    <w:rsid w:val="00592F28"/>
    <w:rsid w:val="00593B56"/>
    <w:rsid w:val="005943B2"/>
    <w:rsid w:val="00595618"/>
    <w:rsid w:val="005A0EDD"/>
    <w:rsid w:val="005A32AA"/>
    <w:rsid w:val="005A616F"/>
    <w:rsid w:val="005A6F48"/>
    <w:rsid w:val="005C239F"/>
    <w:rsid w:val="005C331B"/>
    <w:rsid w:val="005C4593"/>
    <w:rsid w:val="005C4B2E"/>
    <w:rsid w:val="005E12CD"/>
    <w:rsid w:val="005E2985"/>
    <w:rsid w:val="005E5D66"/>
    <w:rsid w:val="005F3B1B"/>
    <w:rsid w:val="00607B69"/>
    <w:rsid w:val="00607D98"/>
    <w:rsid w:val="00607FFC"/>
    <w:rsid w:val="0061059A"/>
    <w:rsid w:val="006126CA"/>
    <w:rsid w:val="006131BB"/>
    <w:rsid w:val="00613B1E"/>
    <w:rsid w:val="00616FB0"/>
    <w:rsid w:val="006210C4"/>
    <w:rsid w:val="00622B32"/>
    <w:rsid w:val="00624B98"/>
    <w:rsid w:val="006330DD"/>
    <w:rsid w:val="00634928"/>
    <w:rsid w:val="00635671"/>
    <w:rsid w:val="00636ABD"/>
    <w:rsid w:val="00637297"/>
    <w:rsid w:val="00645857"/>
    <w:rsid w:val="00647E75"/>
    <w:rsid w:val="00651C2B"/>
    <w:rsid w:val="00652018"/>
    <w:rsid w:val="006537BF"/>
    <w:rsid w:val="00653DF0"/>
    <w:rsid w:val="00653FC5"/>
    <w:rsid w:val="006543EF"/>
    <w:rsid w:val="0065492A"/>
    <w:rsid w:val="00654D11"/>
    <w:rsid w:val="00656A7B"/>
    <w:rsid w:val="00665AD3"/>
    <w:rsid w:val="00683EDA"/>
    <w:rsid w:val="00684BF3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0A8A"/>
    <w:rsid w:val="006D132D"/>
    <w:rsid w:val="006D6B1F"/>
    <w:rsid w:val="006E22FA"/>
    <w:rsid w:val="006E45D9"/>
    <w:rsid w:val="006E5A26"/>
    <w:rsid w:val="006F0D5F"/>
    <w:rsid w:val="006F1DCF"/>
    <w:rsid w:val="006F4830"/>
    <w:rsid w:val="006F4A1A"/>
    <w:rsid w:val="006F5431"/>
    <w:rsid w:val="006F5C22"/>
    <w:rsid w:val="006F6B93"/>
    <w:rsid w:val="00700488"/>
    <w:rsid w:val="00701C00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66CFC"/>
    <w:rsid w:val="00770A12"/>
    <w:rsid w:val="00774B17"/>
    <w:rsid w:val="007756A1"/>
    <w:rsid w:val="0078088D"/>
    <w:rsid w:val="00780E97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629"/>
    <w:rsid w:val="007B6FFB"/>
    <w:rsid w:val="007C1F4C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6E83"/>
    <w:rsid w:val="00807F76"/>
    <w:rsid w:val="008142CC"/>
    <w:rsid w:val="00815FCD"/>
    <w:rsid w:val="00816C9D"/>
    <w:rsid w:val="0082033D"/>
    <w:rsid w:val="0082190B"/>
    <w:rsid w:val="00826456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3AA4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34AC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52D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1E9D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6E47"/>
    <w:rsid w:val="009E7AFD"/>
    <w:rsid w:val="009F20D3"/>
    <w:rsid w:val="00A01F08"/>
    <w:rsid w:val="00A079A7"/>
    <w:rsid w:val="00A165D9"/>
    <w:rsid w:val="00A17573"/>
    <w:rsid w:val="00A210B9"/>
    <w:rsid w:val="00A216A5"/>
    <w:rsid w:val="00A22FB6"/>
    <w:rsid w:val="00A2310D"/>
    <w:rsid w:val="00A25AEB"/>
    <w:rsid w:val="00A2725D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7A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1662"/>
    <w:rsid w:val="00AB25ED"/>
    <w:rsid w:val="00AB32B3"/>
    <w:rsid w:val="00AB3F85"/>
    <w:rsid w:val="00AB4AC5"/>
    <w:rsid w:val="00AB5B3B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76252"/>
    <w:rsid w:val="00B822A0"/>
    <w:rsid w:val="00B8446C"/>
    <w:rsid w:val="00B92920"/>
    <w:rsid w:val="00B93A4D"/>
    <w:rsid w:val="00B943D6"/>
    <w:rsid w:val="00BA0D2D"/>
    <w:rsid w:val="00BA248C"/>
    <w:rsid w:val="00BA47FD"/>
    <w:rsid w:val="00BA5EFD"/>
    <w:rsid w:val="00BB2B4D"/>
    <w:rsid w:val="00BB4346"/>
    <w:rsid w:val="00BB43B8"/>
    <w:rsid w:val="00BB53AC"/>
    <w:rsid w:val="00BB7338"/>
    <w:rsid w:val="00BC246E"/>
    <w:rsid w:val="00BC2D24"/>
    <w:rsid w:val="00BC3149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26F0"/>
    <w:rsid w:val="00C1494B"/>
    <w:rsid w:val="00C14DE6"/>
    <w:rsid w:val="00C15AC6"/>
    <w:rsid w:val="00C16052"/>
    <w:rsid w:val="00C1643C"/>
    <w:rsid w:val="00C209B5"/>
    <w:rsid w:val="00C26D23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5324"/>
    <w:rsid w:val="00C87851"/>
    <w:rsid w:val="00C93744"/>
    <w:rsid w:val="00C958F3"/>
    <w:rsid w:val="00CA3A27"/>
    <w:rsid w:val="00CA517A"/>
    <w:rsid w:val="00CB0D58"/>
    <w:rsid w:val="00CB29E4"/>
    <w:rsid w:val="00CB5BF2"/>
    <w:rsid w:val="00CB6D45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CF6324"/>
    <w:rsid w:val="00D030C4"/>
    <w:rsid w:val="00D076FD"/>
    <w:rsid w:val="00D1118A"/>
    <w:rsid w:val="00D12CB8"/>
    <w:rsid w:val="00D15059"/>
    <w:rsid w:val="00D163C5"/>
    <w:rsid w:val="00D16CE2"/>
    <w:rsid w:val="00D21245"/>
    <w:rsid w:val="00D21A3E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5969"/>
    <w:rsid w:val="00D8307F"/>
    <w:rsid w:val="00D8465F"/>
    <w:rsid w:val="00D85B5D"/>
    <w:rsid w:val="00D9039A"/>
    <w:rsid w:val="00D90F93"/>
    <w:rsid w:val="00D91F54"/>
    <w:rsid w:val="00D92FBA"/>
    <w:rsid w:val="00D93835"/>
    <w:rsid w:val="00D93AE3"/>
    <w:rsid w:val="00D9442D"/>
    <w:rsid w:val="00D94F8B"/>
    <w:rsid w:val="00D95235"/>
    <w:rsid w:val="00D9763F"/>
    <w:rsid w:val="00DA2E4E"/>
    <w:rsid w:val="00DA66C3"/>
    <w:rsid w:val="00DB5E7F"/>
    <w:rsid w:val="00DC176A"/>
    <w:rsid w:val="00DC2361"/>
    <w:rsid w:val="00DC5B56"/>
    <w:rsid w:val="00DD0C2C"/>
    <w:rsid w:val="00DD0F6E"/>
    <w:rsid w:val="00DD1C07"/>
    <w:rsid w:val="00DD4BF9"/>
    <w:rsid w:val="00DD67F1"/>
    <w:rsid w:val="00DE0E3E"/>
    <w:rsid w:val="00DE2633"/>
    <w:rsid w:val="00DE37AB"/>
    <w:rsid w:val="00DF1AE6"/>
    <w:rsid w:val="00DF678F"/>
    <w:rsid w:val="00E02F1E"/>
    <w:rsid w:val="00E038CE"/>
    <w:rsid w:val="00E03F11"/>
    <w:rsid w:val="00E0463C"/>
    <w:rsid w:val="00E077C9"/>
    <w:rsid w:val="00E11C02"/>
    <w:rsid w:val="00E13D84"/>
    <w:rsid w:val="00E20450"/>
    <w:rsid w:val="00E21128"/>
    <w:rsid w:val="00E21AB4"/>
    <w:rsid w:val="00E224FC"/>
    <w:rsid w:val="00E239A7"/>
    <w:rsid w:val="00E24141"/>
    <w:rsid w:val="00E31F57"/>
    <w:rsid w:val="00E32C2E"/>
    <w:rsid w:val="00E336C5"/>
    <w:rsid w:val="00E34794"/>
    <w:rsid w:val="00E41279"/>
    <w:rsid w:val="00E502C4"/>
    <w:rsid w:val="00E50F6C"/>
    <w:rsid w:val="00E55ABC"/>
    <w:rsid w:val="00E56168"/>
    <w:rsid w:val="00E57B74"/>
    <w:rsid w:val="00E57FEF"/>
    <w:rsid w:val="00E642B3"/>
    <w:rsid w:val="00E70C18"/>
    <w:rsid w:val="00E71E0B"/>
    <w:rsid w:val="00E8629F"/>
    <w:rsid w:val="00E90B54"/>
    <w:rsid w:val="00E95CB3"/>
    <w:rsid w:val="00E96BC6"/>
    <w:rsid w:val="00E97AA9"/>
    <w:rsid w:val="00EA09B1"/>
    <w:rsid w:val="00EA0B7F"/>
    <w:rsid w:val="00EA3C24"/>
    <w:rsid w:val="00EA3D76"/>
    <w:rsid w:val="00EB0292"/>
    <w:rsid w:val="00EC0715"/>
    <w:rsid w:val="00EC534E"/>
    <w:rsid w:val="00EC6A1C"/>
    <w:rsid w:val="00ED2E7F"/>
    <w:rsid w:val="00ED5F47"/>
    <w:rsid w:val="00ED7922"/>
    <w:rsid w:val="00EE01EA"/>
    <w:rsid w:val="00EE066A"/>
    <w:rsid w:val="00EE1A77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864"/>
    <w:rsid w:val="00F12D23"/>
    <w:rsid w:val="00F15074"/>
    <w:rsid w:val="00F15855"/>
    <w:rsid w:val="00F1709D"/>
    <w:rsid w:val="00F1745D"/>
    <w:rsid w:val="00F255F3"/>
    <w:rsid w:val="00F26554"/>
    <w:rsid w:val="00F30653"/>
    <w:rsid w:val="00F3413D"/>
    <w:rsid w:val="00F37710"/>
    <w:rsid w:val="00F46A6A"/>
    <w:rsid w:val="00F5181B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0A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6D0A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D0A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rsid w:val="006D0A8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6D0A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D0A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D0A8A"/>
    <w:pPr>
      <w:outlineLvl w:val="5"/>
    </w:pPr>
  </w:style>
  <w:style w:type="paragraph" w:styleId="Heading7">
    <w:name w:val="heading 7"/>
    <w:basedOn w:val="H6"/>
    <w:next w:val="Normal"/>
    <w:qFormat/>
    <w:rsid w:val="006D0A8A"/>
    <w:pPr>
      <w:outlineLvl w:val="6"/>
    </w:pPr>
  </w:style>
  <w:style w:type="paragraph" w:styleId="Heading8">
    <w:name w:val="heading 8"/>
    <w:basedOn w:val="Heading1"/>
    <w:next w:val="Normal"/>
    <w:qFormat/>
    <w:rsid w:val="006D0A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0A8A"/>
    <w:pPr>
      <w:outlineLvl w:val="8"/>
    </w:pPr>
  </w:style>
  <w:style w:type="character" w:default="1" w:styleId="DefaultParagraphFont">
    <w:name w:val="Default Paragraph Font"/>
    <w:semiHidden/>
    <w:rsid w:val="006D0A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0A8A"/>
  </w:style>
  <w:style w:type="paragraph" w:customStyle="1" w:styleId="H6">
    <w:name w:val="H6"/>
    <w:basedOn w:val="Heading5"/>
    <w:next w:val="Normal"/>
    <w:rsid w:val="006D0A8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D0A8A"/>
    <w:pPr>
      <w:ind w:left="1418" w:hanging="1418"/>
    </w:pPr>
  </w:style>
  <w:style w:type="paragraph" w:styleId="TOC8">
    <w:name w:val="toc 8"/>
    <w:basedOn w:val="TOC1"/>
    <w:rsid w:val="006D0A8A"/>
    <w:pPr>
      <w:spacing w:before="180"/>
      <w:ind w:left="2693" w:hanging="2693"/>
    </w:pPr>
    <w:rPr>
      <w:b/>
    </w:rPr>
  </w:style>
  <w:style w:type="paragraph" w:styleId="TOC1">
    <w:name w:val="toc 1"/>
    <w:rsid w:val="006D0A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link w:val="EQChar"/>
    <w:rsid w:val="006D0A8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D0A8A"/>
  </w:style>
  <w:style w:type="paragraph" w:styleId="Header">
    <w:name w:val="header"/>
    <w:rsid w:val="006D0A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6D0A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6D0A8A"/>
    <w:pPr>
      <w:ind w:left="1701" w:hanging="1701"/>
    </w:pPr>
  </w:style>
  <w:style w:type="paragraph" w:styleId="TOC4">
    <w:name w:val="toc 4"/>
    <w:basedOn w:val="TOC3"/>
    <w:rsid w:val="006D0A8A"/>
    <w:pPr>
      <w:ind w:left="1418" w:hanging="1418"/>
    </w:pPr>
  </w:style>
  <w:style w:type="paragraph" w:styleId="TOC3">
    <w:name w:val="toc 3"/>
    <w:basedOn w:val="TOC2"/>
    <w:rsid w:val="006D0A8A"/>
    <w:pPr>
      <w:ind w:left="1134" w:hanging="1134"/>
    </w:pPr>
  </w:style>
  <w:style w:type="paragraph" w:styleId="TOC2">
    <w:name w:val="toc 2"/>
    <w:basedOn w:val="TOC1"/>
    <w:rsid w:val="006D0A8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D0A8A"/>
    <w:pPr>
      <w:keepLines/>
      <w:spacing w:after="0"/>
    </w:pPr>
  </w:style>
  <w:style w:type="paragraph" w:styleId="Index2">
    <w:name w:val="index 2"/>
    <w:basedOn w:val="Index1"/>
    <w:semiHidden/>
    <w:rsid w:val="006D0A8A"/>
    <w:pPr>
      <w:ind w:left="284"/>
    </w:pPr>
  </w:style>
  <w:style w:type="paragraph" w:customStyle="1" w:styleId="TT">
    <w:name w:val="TT"/>
    <w:basedOn w:val="Heading1"/>
    <w:next w:val="Normal"/>
    <w:rsid w:val="006D0A8A"/>
    <w:pPr>
      <w:outlineLvl w:val="9"/>
    </w:pPr>
  </w:style>
  <w:style w:type="paragraph" w:styleId="Footer">
    <w:name w:val="footer"/>
    <w:basedOn w:val="Header"/>
    <w:rsid w:val="006D0A8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6D0A8A"/>
    <w:rPr>
      <w:b/>
      <w:position w:val="6"/>
      <w:sz w:val="16"/>
    </w:rPr>
  </w:style>
  <w:style w:type="paragraph" w:styleId="FootnoteText">
    <w:name w:val="footnote text"/>
    <w:basedOn w:val="Normal"/>
    <w:semiHidden/>
    <w:rsid w:val="006D0A8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D0A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D0A8A"/>
    <w:pPr>
      <w:keepLines/>
      <w:ind w:left="1135" w:hanging="851"/>
    </w:pPr>
  </w:style>
  <w:style w:type="paragraph" w:customStyle="1" w:styleId="PL">
    <w:name w:val="PL"/>
    <w:rsid w:val="006D0A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D0A8A"/>
    <w:pPr>
      <w:jc w:val="right"/>
    </w:pPr>
  </w:style>
  <w:style w:type="paragraph" w:customStyle="1" w:styleId="TAL">
    <w:name w:val="TAL"/>
    <w:basedOn w:val="Normal"/>
    <w:link w:val="TALChar"/>
    <w:rsid w:val="006D0A8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D0A8A"/>
    <w:pPr>
      <w:ind w:left="851"/>
    </w:pPr>
  </w:style>
  <w:style w:type="paragraph" w:styleId="ListNumber">
    <w:name w:val="List Number"/>
    <w:basedOn w:val="List"/>
    <w:rsid w:val="006D0A8A"/>
  </w:style>
  <w:style w:type="paragraph" w:styleId="List">
    <w:name w:val="List"/>
    <w:basedOn w:val="Normal"/>
    <w:rsid w:val="006D0A8A"/>
    <w:pPr>
      <w:ind w:left="568" w:hanging="284"/>
    </w:pPr>
  </w:style>
  <w:style w:type="paragraph" w:customStyle="1" w:styleId="TAH">
    <w:name w:val="TAH"/>
    <w:basedOn w:val="TAC"/>
    <w:link w:val="TAHCar"/>
    <w:rsid w:val="006D0A8A"/>
    <w:rPr>
      <w:b/>
    </w:rPr>
  </w:style>
  <w:style w:type="paragraph" w:customStyle="1" w:styleId="TAC">
    <w:name w:val="TAC"/>
    <w:basedOn w:val="TAL"/>
    <w:link w:val="TACChar"/>
    <w:rsid w:val="006D0A8A"/>
    <w:pPr>
      <w:jc w:val="center"/>
    </w:pPr>
  </w:style>
  <w:style w:type="paragraph" w:customStyle="1" w:styleId="LD">
    <w:name w:val="LD"/>
    <w:rsid w:val="006D0A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6D0A8A"/>
    <w:pPr>
      <w:keepLines/>
      <w:ind w:left="1702" w:hanging="1418"/>
    </w:pPr>
  </w:style>
  <w:style w:type="paragraph" w:customStyle="1" w:styleId="FP">
    <w:name w:val="FP"/>
    <w:basedOn w:val="Normal"/>
    <w:rsid w:val="006D0A8A"/>
    <w:pPr>
      <w:spacing w:after="0"/>
    </w:pPr>
  </w:style>
  <w:style w:type="paragraph" w:customStyle="1" w:styleId="NW">
    <w:name w:val="NW"/>
    <w:basedOn w:val="NO"/>
    <w:rsid w:val="006D0A8A"/>
    <w:pPr>
      <w:spacing w:after="0"/>
    </w:pPr>
  </w:style>
  <w:style w:type="paragraph" w:customStyle="1" w:styleId="EW">
    <w:name w:val="EW"/>
    <w:basedOn w:val="EX"/>
    <w:rsid w:val="006D0A8A"/>
    <w:pPr>
      <w:spacing w:after="0"/>
    </w:pPr>
  </w:style>
  <w:style w:type="paragraph" w:customStyle="1" w:styleId="B1">
    <w:name w:val="B1"/>
    <w:basedOn w:val="List"/>
    <w:link w:val="B1Char"/>
    <w:rsid w:val="006D0A8A"/>
  </w:style>
  <w:style w:type="paragraph" w:styleId="TOC6">
    <w:name w:val="toc 6"/>
    <w:basedOn w:val="TOC5"/>
    <w:next w:val="Normal"/>
    <w:rsid w:val="006D0A8A"/>
    <w:pPr>
      <w:ind w:left="1985" w:hanging="1985"/>
    </w:pPr>
  </w:style>
  <w:style w:type="paragraph" w:styleId="TOC7">
    <w:name w:val="toc 7"/>
    <w:basedOn w:val="TOC6"/>
    <w:next w:val="Normal"/>
    <w:rsid w:val="006D0A8A"/>
    <w:pPr>
      <w:ind w:left="2268" w:hanging="2268"/>
    </w:pPr>
  </w:style>
  <w:style w:type="paragraph" w:styleId="ListBullet2">
    <w:name w:val="List Bullet 2"/>
    <w:basedOn w:val="ListBullet"/>
    <w:rsid w:val="006D0A8A"/>
    <w:pPr>
      <w:ind w:left="851"/>
    </w:pPr>
  </w:style>
  <w:style w:type="paragraph" w:styleId="ListBullet">
    <w:name w:val="List Bullet"/>
    <w:basedOn w:val="List"/>
    <w:rsid w:val="006D0A8A"/>
  </w:style>
  <w:style w:type="paragraph" w:customStyle="1" w:styleId="EditorsNote">
    <w:name w:val="Editor's Note"/>
    <w:basedOn w:val="NO"/>
    <w:rsid w:val="006D0A8A"/>
    <w:rPr>
      <w:color w:val="FF0000"/>
    </w:rPr>
  </w:style>
  <w:style w:type="paragraph" w:customStyle="1" w:styleId="TH">
    <w:name w:val="TH"/>
    <w:basedOn w:val="Normal"/>
    <w:link w:val="THChar"/>
    <w:rsid w:val="006D0A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D0A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D0A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D0A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D0A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6D0A8A"/>
    <w:pPr>
      <w:ind w:left="851" w:hanging="851"/>
    </w:pPr>
  </w:style>
  <w:style w:type="paragraph" w:customStyle="1" w:styleId="ZH">
    <w:name w:val="ZH"/>
    <w:rsid w:val="006D0A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6D0A8A"/>
    <w:pPr>
      <w:keepNext w:val="0"/>
      <w:spacing w:before="0" w:after="240"/>
    </w:pPr>
  </w:style>
  <w:style w:type="paragraph" w:customStyle="1" w:styleId="ZG">
    <w:name w:val="ZG"/>
    <w:rsid w:val="006D0A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6D0A8A"/>
    <w:pPr>
      <w:ind w:left="1135"/>
    </w:pPr>
  </w:style>
  <w:style w:type="paragraph" w:styleId="List2">
    <w:name w:val="List 2"/>
    <w:basedOn w:val="List"/>
    <w:rsid w:val="006D0A8A"/>
    <w:pPr>
      <w:ind w:left="851"/>
    </w:pPr>
  </w:style>
  <w:style w:type="paragraph" w:styleId="List3">
    <w:name w:val="List 3"/>
    <w:basedOn w:val="List2"/>
    <w:rsid w:val="006D0A8A"/>
    <w:pPr>
      <w:ind w:left="1135"/>
    </w:pPr>
  </w:style>
  <w:style w:type="paragraph" w:styleId="List4">
    <w:name w:val="List 4"/>
    <w:basedOn w:val="List3"/>
    <w:rsid w:val="006D0A8A"/>
    <w:pPr>
      <w:ind w:left="1418"/>
    </w:pPr>
  </w:style>
  <w:style w:type="paragraph" w:styleId="List5">
    <w:name w:val="List 5"/>
    <w:basedOn w:val="List4"/>
    <w:rsid w:val="006D0A8A"/>
    <w:pPr>
      <w:ind w:left="1702"/>
    </w:pPr>
  </w:style>
  <w:style w:type="paragraph" w:styleId="ListBullet4">
    <w:name w:val="List Bullet 4"/>
    <w:basedOn w:val="ListBullet3"/>
    <w:rsid w:val="006D0A8A"/>
    <w:pPr>
      <w:ind w:left="1418"/>
    </w:pPr>
  </w:style>
  <w:style w:type="paragraph" w:styleId="ListBullet5">
    <w:name w:val="List Bullet 5"/>
    <w:basedOn w:val="ListBullet4"/>
    <w:rsid w:val="006D0A8A"/>
    <w:pPr>
      <w:ind w:left="1702"/>
    </w:pPr>
  </w:style>
  <w:style w:type="paragraph" w:customStyle="1" w:styleId="B2">
    <w:name w:val="B2"/>
    <w:basedOn w:val="List2"/>
    <w:rsid w:val="006D0A8A"/>
  </w:style>
  <w:style w:type="paragraph" w:customStyle="1" w:styleId="B3">
    <w:name w:val="B3"/>
    <w:basedOn w:val="List3"/>
    <w:rsid w:val="006D0A8A"/>
  </w:style>
  <w:style w:type="paragraph" w:customStyle="1" w:styleId="B4">
    <w:name w:val="B4"/>
    <w:basedOn w:val="List4"/>
    <w:rsid w:val="006D0A8A"/>
  </w:style>
  <w:style w:type="paragraph" w:customStyle="1" w:styleId="B5">
    <w:name w:val="B5"/>
    <w:basedOn w:val="List5"/>
    <w:rsid w:val="006D0A8A"/>
  </w:style>
  <w:style w:type="paragraph" w:customStyle="1" w:styleId="ZTD">
    <w:name w:val="ZTD"/>
    <w:basedOn w:val="ZB"/>
    <w:rsid w:val="006D0A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D0A8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eastAsia="Times New Roman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rFonts w:eastAsia="Times New Roman"/>
      <w:lang w:val="en-GB"/>
    </w:rPr>
  </w:style>
  <w:style w:type="character" w:customStyle="1" w:styleId="TAHCar">
    <w:name w:val="TAH Car"/>
    <w:link w:val="TAH"/>
    <w:rsid w:val="006B1C2F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eastAsia="Times New Roman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eastAsia="Times New Roman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rFonts w:eastAsia="Times New Roman"/>
      <w:noProof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hertel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schemas.microsoft.com/office/infopath/2007/PartnerControls"/>
    <ds:schemaRef ds:uri="878f5c59-aec9-459c-acf8-8cf941473193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bdd78157-346c-4767-bfdd-352789a5c5f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BC10D-08F0-4F85-8D99-22A7F4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894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115</cp:revision>
  <dcterms:created xsi:type="dcterms:W3CDTF">2019-06-30T20:45:00Z</dcterms:created>
  <dcterms:modified xsi:type="dcterms:W3CDTF">2019-11-08T18:01:00Z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